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2007/368 vom 5. Februar 2009</w:t>
      </w:r>
    </w:p>
    <w:p>
      <w:r>
        <w:t>Sg Versicherungsgericht, 2009-02-05, DE</w:t>
      </w:r>
    </w:p>
    <w:p>
      <w:r>
        <w:rPr>
          <w:b/>
        </w:rPr>
        <w:t xml:space="preserve">Quelle: </w:t>
      </w:r>
      <w:r>
        <w:t>https://mcp.opencaselaw.ch/entscheid/sg_publikationen_IV 2007_368</w:t>
      </w:r>
    </w:p>
    <w:p>
      <w:r>
        <w:t>FR: SG_VERSICHERUNGSGERICHT IV 2007/368 du 5 février 2009</w:t>
      </w:r>
    </w:p>
    <w:p>
      <w:r>
        <w:t>IT: SG_VERSICHERUNGSGERICHT IV 2007/368 del 5 febbraio 2009</w:t>
      </w:r>
    </w:p>
    <w:p>
      <w:pPr>
        <w:pStyle w:val="Heading2"/>
      </w:pPr>
      <w:r>
        <w:t>Regeste</w:t>
      </w:r>
    </w:p>
    <w:p>
      <w:r>
        <w:t>Art. 8 Abs. 1 ATSG, Art. 16 ATSG, aArt. 28 Abs. 1 IVG. Keine rentenbegründende Invalidität bei voller Arbeitsfähigkeit in adaptierter Tätigkeit und Fehlen einer die Arbeitsfähigkeit einschränkenden Diagnose. Anforderungen an medizinische Gutachten. Schmerzbekämpfungspflicht (Entscheid des Versicherungsgerichts des Kantons St. Gallen vom 5. Februar 2009, IV 2007/368).</w:t>
      </w:r>
    </w:p>
    <w:p>
      <w:pPr>
        <w:pStyle w:val="Heading2"/>
      </w:pPr>
      <w:r>
        <w:t>Erwägungen</w:t>
      </w:r>
    </w:p>
    <w:p>
      <w:r>
        <w:rPr>
          <w:b/>
        </w:rPr>
        <w:t>E. 1</w:t>
      </w:r>
    </w:p>
    <w:p>
      <w:r>
        <w:t>1.1  Da ein Sachverhalt zu beurteilen ist, wie er sich bis zum Zeitpunkt des Erlasses der angefochtenen Verfügung am 10. September 2007 entwickelt hat, sind die auf den 1. Januar 2008 in Kraft getretenen Rechtsänderungen nicht anwendbar. 1.2  Strittig ist die Abweisung des Rentengesuchs der Beschwerdeführerin.</w:t>
      </w:r>
    </w:p>
    <w:p>
      <w:r>
        <w:rPr>
          <w:b/>
        </w:rPr>
        <w:t>E. 2</w:t>
      </w:r>
    </w:p>
    <w:p>
      <w:r>
        <w:t>2.1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Zunächst ist massgebend, inwiefern die versicherte Person durch das Leiden in den Funktionen, welche die in Frage kommenden Tätigkeiten von ihr erfordern, medizinisch eingeschränkt ist, und bezüglich welcher Tätigkeiten sie in welchem (zeitlichen und leistungsmässigen) Umfang noch arbeitsfähig ist (vgl. BGE 125 V 261 E. 4). Ob die versicherte Person eine ihr zumutbare Tätigkeit auch tatsächlich ausübt, ist für die Invaliditätsbemessung unerheblich (Rz 3046 des vom Bundesamt für Sozialversicherung erlassenen Kreisschreibens über Invalidität und Hilflosigkeit in der Invalidenversicherung = KSIH in der bis 31. Dezember 2007 geltenden Fassung). 2.3  Die Beschwerdegegnerin stützt sich bei der Invaliditätsbemessung auf das Ergebnis des bidisziplinären Gutachtens, das unter Mitwirkung von Dr. C.___ und Dr. D.___ erstellt wurde. Danach ist die Beschwerdeführerin in jeder körperlich leichten bis mittelschweren Tätigkeit zu 100 % arbeitsfähig. Nach ihrer Auffassung ist die Beschwerdeführerin in der Arbeitsfähigkeit erheblich eingeschränkt. 2.4  Eine vom Begutachtungsergebnis abweichende Einschätzung der Arbeitsfähigkeit der Beschwerdeführerin liegt mit dem Bericht von Dr. B.___ (IV-act. 10-7 ff./9) vor, auf dessen Beurteilung auch Dr. A.___ (IV-act. 10-2/9) Bezug nimmt. Dr. B.___ hatte am 25. August 2003 dafürgehalten, die Beschwerdeführerin sei wohl in ausserhäuslichen Tätigkeiten nicht mehr einsetzbar, erwähnte aber, dass die Beurteilung der Arbeitsfähigkeit bei solchen Schmerzsituationen (generalisiertes Schmerzsyndrom) schwierig sei. Die Arbeitsfähigkeit führte er eher auf psychosomatische als rheumatologische Gründe zurück und erklärte am 25. Oktober 2004 (IV-act. 21-5/5), die psychosomatische Erkrankung, an welcher die Beschwerdeführerin nach seiner Beurteilung zumindest teilweise leide, sei allenfalls durch einen Psychiater abzuklären. Aufgrund des Gutachtens der Dres. C.___ und D.___ kann nun davon ausgegangen werden, dass der medizinische Sachverhalt sowohl internistisch/rheumatologisch wie psychiatrisch genügend abgeklärt wurde. Die fachärztlichen psychiatrischen Erhebungen haben kein die Arbeitsfähigkeit beeinträchtigendes Leiden aufgezeigt. Dass die Begutachtung aus einem - allenfalls sprachlichen - Grund mangelhaft gewesen wäre, muss nicht angenommen werden, auch wenn, wie Dr. D.___ erwähnte, ihm das Beurteilungsinstrument der direkten Interaktion im Gespräch weitgehend nicht zur Verfügung stand. Aus dem Bericht über die erhobenen Befunde (Status und Anamnese) lässt sich schliessen, dass die von der Beschwerdeführerin geschilderten Beschwerden und ihre weiteren Angaben beim Gutachter ausreichend (und zur übrigen Aktenlage widerspruchsfrei) Ausdruck finden konnten. Auch aus internistisch/rheumatologischer Sicht konnte ein Korrelat für die geklagten Beschwerden der Beschwerdeführerin nicht gefunden werden. Eine körperlich leichte bis mittelschwere Tätigkeit kann der Beschwerdeführerin demnach zugemutet werden. Auf das entsprechende, nachvollziehbar begründete Ergebnis der Begutachtung kann vollumfänglich abgestellt werden.</w:t>
      </w:r>
    </w:p>
    <w:p>
      <w:r>
        <w:rPr>
          <w:b/>
        </w:rPr>
        <w:t>E. 3</w:t>
      </w:r>
    </w:p>
    <w:p>
      <w:r>
        <w:t>Angesichts der vollen Arbeitsfähigkeit der Beschwerdeführerin für körperlich leichte bis mittelschwere Tätigkeiten (bei Fehlen einer die Arbeitsfähigkeit einschränkenden Diagnose) erübrigen sich Ausführungen zur anwendbaren Methode der Bemessung der Invalidität. Denn weder im Einkommensvergleich noch nach der gemischten Methode oder dem Betätigungsvergleich wird bei dieser Sachlage ein rentenbegründender Invaliditätsgrad erreicht. Die Abklärung an Ort und Stelle hatte im Übrigen mit 30 % ebenfalls eine Einschränkung der Arbeitsfähigkeit im Haushalt ergeben, die unter der massgeblichen Grenze liegt.</w:t>
      </w:r>
    </w:p>
    <w:p>
      <w:r>
        <w:rPr>
          <w:b/>
        </w:rPr>
        <w:t>E. 4</w:t>
      </w:r>
    </w:p>
    <w:p>
      <w:r>
        <w:t>Was die Beschwerdesituation der Beschwerdeführerin betrifft, kann auf die gutachterliche Empfehlung hingewiesen werden, die eingesetzten Medikamente (zur Verminderung von Unverträglichkeiten) aufeinander abzustimmen und auf ein Minimum zu reduzieren. Die Schmerzsituation wird die Beschwerdeführerin mit einer geordneten Verwendung des Erforderlichen an Arzneimitteln bekämpfen können. Es ist der Beschwerdeführerin zuzumuten, sich einem sorgfältigen ärztlichen Schmerzbekämpfungsmanagement zu unterziehen.</w:t>
      </w:r>
    </w:p>
    <w:p>
      <w:r>
        <w:rPr>
          <w:b/>
        </w:rPr>
        <w:t>E. 5</w:t>
      </w:r>
    </w:p>
    <w:p>
      <w:r>
        <w:t>5.1  Im Sinn der vorstehenden Erwägungen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Die Beschwerdeführerin bezahlt die Gerichtskosten von Fr. 600.-- unter Anrechnung des bezahlten Kostenvorschusses in gleicher Höhe. Im Namen der Abteilung II des Versicherungsgerichts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